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75873" w14:textId="77777777" w:rsidR="00FB00B7" w:rsidRPr="00E57EBE" w:rsidRDefault="00FB00B7" w:rsidP="00FB00B7">
      <w:pPr>
        <w:pStyle w:val="Docketnumber"/>
        <w:rPr>
          <w:sz w:val="24"/>
          <w:szCs w:val="24"/>
        </w:rPr>
      </w:pPr>
      <w:r w:rsidRPr="00E57EBE">
        <w:rPr>
          <w:sz w:val="24"/>
          <w:szCs w:val="24"/>
        </w:rPr>
        <w:t xml:space="preserve">DOCKET NO. </w:t>
      </w:r>
      <w:r>
        <w:rPr>
          <w:sz w:val="24"/>
          <w:szCs w:val="24"/>
        </w:rPr>
        <w:t>50585</w:t>
      </w:r>
    </w:p>
    <w:p w14:paraId="7DE908E4" w14:textId="77777777" w:rsidR="00FB00B7" w:rsidRPr="001E0547" w:rsidRDefault="00FB00B7" w:rsidP="00FB00B7">
      <w:pPr>
        <w:jc w:val="center"/>
        <w:rPr>
          <w:b/>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FB00B7" w14:paraId="7EC085F9" w14:textId="77777777" w:rsidTr="00FF12AE">
        <w:trPr>
          <w:trHeight w:val="1287"/>
        </w:trPr>
        <w:tc>
          <w:tcPr>
            <w:tcW w:w="4770" w:type="dxa"/>
            <w:tcMar>
              <w:top w:w="0" w:type="dxa"/>
              <w:left w:w="108" w:type="dxa"/>
              <w:bottom w:w="0" w:type="dxa"/>
              <w:right w:w="108" w:type="dxa"/>
            </w:tcMar>
          </w:tcPr>
          <w:p w14:paraId="70072037" w14:textId="77777777" w:rsidR="00FB00B7" w:rsidRPr="00BE1A87" w:rsidRDefault="00FB00B7" w:rsidP="00FF12AE">
            <w:pPr>
              <w:keepNext/>
              <w:jc w:val="left"/>
              <w:rPr>
                <w:rFonts w:ascii="Times New Roman Bold" w:hAnsi="Times New Roman Bold"/>
                <w:b/>
                <w:bCs/>
                <w:caps/>
                <w:szCs w:val="24"/>
              </w:rPr>
            </w:pPr>
            <w:r w:rsidRPr="00BE1A87">
              <w:rPr>
                <w:b/>
                <w:bCs/>
              </w:rPr>
              <w:t>APPLICATION OF POLONIA WATER SUPPLY CORPORATION AND THE CITY OF LOCKHART FOR SALE, TRANSFER, OR MERGER OF FACILITIES AND CERTIFICATE RIGHTS IN CALDWELL COUNTY</w:t>
            </w:r>
          </w:p>
        </w:tc>
        <w:tc>
          <w:tcPr>
            <w:tcW w:w="450" w:type="dxa"/>
            <w:tcMar>
              <w:top w:w="0" w:type="dxa"/>
              <w:left w:w="108" w:type="dxa"/>
              <w:bottom w:w="0" w:type="dxa"/>
              <w:right w:w="108" w:type="dxa"/>
            </w:tcMar>
          </w:tcPr>
          <w:p w14:paraId="5C6BD4E4" w14:textId="77777777" w:rsidR="00FB00B7" w:rsidRPr="00284DC1" w:rsidRDefault="00FB00B7" w:rsidP="00FF12AE">
            <w:pPr>
              <w:keepNext/>
              <w:ind w:left="-108"/>
              <w:rPr>
                <w:b/>
                <w:bCs/>
                <w:caps/>
                <w:szCs w:val="24"/>
              </w:rPr>
            </w:pPr>
            <w:r w:rsidRPr="00284DC1">
              <w:rPr>
                <w:b/>
                <w:bCs/>
                <w:caps/>
                <w:szCs w:val="24"/>
              </w:rPr>
              <w:t>§</w:t>
            </w:r>
          </w:p>
          <w:p w14:paraId="2FD312DC" w14:textId="77777777" w:rsidR="00FB00B7" w:rsidRPr="00284DC1" w:rsidRDefault="00FB00B7" w:rsidP="00FF12AE">
            <w:pPr>
              <w:keepNext/>
              <w:ind w:left="-108"/>
              <w:rPr>
                <w:b/>
                <w:bCs/>
                <w:caps/>
                <w:szCs w:val="24"/>
              </w:rPr>
            </w:pPr>
            <w:r w:rsidRPr="00284DC1">
              <w:rPr>
                <w:b/>
                <w:bCs/>
                <w:caps/>
                <w:szCs w:val="24"/>
              </w:rPr>
              <w:t>§</w:t>
            </w:r>
          </w:p>
          <w:p w14:paraId="4F874834" w14:textId="77777777" w:rsidR="00FB00B7" w:rsidRDefault="00FB00B7" w:rsidP="00FF12AE">
            <w:pPr>
              <w:keepNext/>
              <w:ind w:left="-108"/>
              <w:rPr>
                <w:b/>
                <w:bCs/>
                <w:caps/>
                <w:szCs w:val="24"/>
              </w:rPr>
            </w:pPr>
            <w:r w:rsidRPr="00284DC1">
              <w:rPr>
                <w:b/>
                <w:bCs/>
                <w:caps/>
                <w:szCs w:val="24"/>
              </w:rPr>
              <w:t>§</w:t>
            </w:r>
          </w:p>
          <w:p w14:paraId="13E9DB45" w14:textId="77777777" w:rsidR="00FB00B7" w:rsidRDefault="00FB00B7" w:rsidP="00FF12AE">
            <w:pPr>
              <w:keepNext/>
              <w:ind w:left="-108"/>
              <w:rPr>
                <w:b/>
                <w:bCs/>
                <w:caps/>
                <w:szCs w:val="24"/>
              </w:rPr>
            </w:pPr>
            <w:r>
              <w:rPr>
                <w:b/>
                <w:bCs/>
                <w:caps/>
                <w:szCs w:val="24"/>
              </w:rPr>
              <w:t>§</w:t>
            </w:r>
          </w:p>
          <w:p w14:paraId="0D8D9A85" w14:textId="77777777" w:rsidR="00FB00B7" w:rsidRDefault="00FB00B7" w:rsidP="00FF12AE">
            <w:pPr>
              <w:keepNext/>
              <w:ind w:left="-108"/>
              <w:rPr>
                <w:b/>
                <w:bCs/>
                <w:caps/>
                <w:szCs w:val="24"/>
              </w:rPr>
            </w:pPr>
            <w:r>
              <w:rPr>
                <w:b/>
                <w:bCs/>
                <w:caps/>
                <w:szCs w:val="24"/>
              </w:rPr>
              <w:t>§</w:t>
            </w:r>
          </w:p>
          <w:p w14:paraId="0C6D997D" w14:textId="77777777" w:rsidR="00FB00B7" w:rsidRPr="00284DC1" w:rsidRDefault="00FB00B7" w:rsidP="00FF12AE">
            <w:pPr>
              <w:keepNext/>
              <w:ind w:left="-108"/>
              <w:rPr>
                <w:b/>
                <w:bCs/>
                <w:caps/>
                <w:szCs w:val="24"/>
              </w:rPr>
            </w:pPr>
            <w:r>
              <w:rPr>
                <w:b/>
                <w:bCs/>
                <w:caps/>
                <w:szCs w:val="24"/>
              </w:rPr>
              <w:t>§</w:t>
            </w:r>
          </w:p>
        </w:tc>
        <w:tc>
          <w:tcPr>
            <w:tcW w:w="4011" w:type="dxa"/>
            <w:tcMar>
              <w:top w:w="0" w:type="dxa"/>
              <w:left w:w="108" w:type="dxa"/>
              <w:bottom w:w="0" w:type="dxa"/>
              <w:right w:w="108" w:type="dxa"/>
            </w:tcMar>
          </w:tcPr>
          <w:p w14:paraId="63A61A96" w14:textId="77777777" w:rsidR="00FB00B7" w:rsidRPr="00284DC1" w:rsidRDefault="00FB00B7" w:rsidP="00FF12AE">
            <w:pPr>
              <w:keepNext/>
              <w:spacing w:line="360" w:lineRule="auto"/>
              <w:jc w:val="center"/>
              <w:rPr>
                <w:b/>
                <w:bCs/>
                <w:caps/>
                <w:szCs w:val="24"/>
              </w:rPr>
            </w:pPr>
            <w:r w:rsidRPr="00284DC1">
              <w:rPr>
                <w:b/>
                <w:bCs/>
                <w:caps/>
                <w:szCs w:val="24"/>
              </w:rPr>
              <w:t>PUBLIC UTILITY COMMISSION</w:t>
            </w:r>
          </w:p>
          <w:p w14:paraId="7656E5F3" w14:textId="77777777" w:rsidR="00FB00B7" w:rsidRPr="00284DC1" w:rsidRDefault="00FB00B7" w:rsidP="00FF12AE">
            <w:pPr>
              <w:keepNext/>
              <w:spacing w:line="360" w:lineRule="auto"/>
              <w:jc w:val="center"/>
              <w:rPr>
                <w:b/>
                <w:bCs/>
                <w:caps/>
                <w:szCs w:val="24"/>
              </w:rPr>
            </w:pPr>
            <w:r w:rsidRPr="00284DC1">
              <w:rPr>
                <w:b/>
                <w:bCs/>
                <w:caps/>
                <w:szCs w:val="24"/>
              </w:rPr>
              <w:t>OF TEXAS</w:t>
            </w:r>
          </w:p>
        </w:tc>
      </w:tr>
    </w:tbl>
    <w:p w14:paraId="3AE09479" w14:textId="77777777" w:rsidR="00FB00B7" w:rsidRDefault="00FB00B7" w:rsidP="00FB00B7">
      <w:pPr>
        <w:pStyle w:val="Documentheading"/>
        <w:rPr>
          <w:sz w:val="24"/>
          <w:szCs w:val="24"/>
        </w:rPr>
      </w:pPr>
    </w:p>
    <w:p w14:paraId="3E6B8517" w14:textId="77777777" w:rsidR="00FB00B7" w:rsidRPr="00FB00B7" w:rsidRDefault="00FB00B7" w:rsidP="00FB00B7">
      <w:pPr>
        <w:keepNext/>
        <w:jc w:val="center"/>
        <w:rPr>
          <w:b/>
          <w:caps/>
          <w:szCs w:val="24"/>
        </w:rPr>
      </w:pPr>
      <w:r w:rsidRPr="00FB00B7">
        <w:rPr>
          <w:b/>
          <w:caps/>
          <w:szCs w:val="24"/>
        </w:rPr>
        <w:t xml:space="preserve">COMMISSION STAFF’S RECOMMENDATION ON </w:t>
      </w:r>
    </w:p>
    <w:p w14:paraId="3DDD8FB5" w14:textId="77777777" w:rsidR="00FB00B7" w:rsidRPr="00FB00B7" w:rsidRDefault="00FB00B7" w:rsidP="00FB00B7">
      <w:pPr>
        <w:keepNext/>
        <w:jc w:val="center"/>
        <w:rPr>
          <w:b/>
          <w:caps/>
          <w:szCs w:val="24"/>
        </w:rPr>
      </w:pPr>
      <w:r w:rsidRPr="00FB00B7">
        <w:rPr>
          <w:b/>
          <w:caps/>
          <w:szCs w:val="24"/>
        </w:rPr>
        <w:t>SUFFICIENCY OF NOTICE AND PROPOSED PROCEDURAL SCHEDULE</w:t>
      </w:r>
    </w:p>
    <w:p w14:paraId="013E52AF" w14:textId="77777777" w:rsidR="00FB00B7" w:rsidRPr="00CD1658" w:rsidRDefault="00FB00B7" w:rsidP="00FB00B7">
      <w:pPr>
        <w:pStyle w:val="Documentheading"/>
        <w:rPr>
          <w:sz w:val="24"/>
          <w:szCs w:val="24"/>
        </w:rPr>
      </w:pPr>
    </w:p>
    <w:p w14:paraId="26A1E096" w14:textId="77777777" w:rsidR="00FB00B7" w:rsidRPr="00220560" w:rsidRDefault="00FB00B7" w:rsidP="00FB00B7">
      <w:pPr>
        <w:keepNext/>
        <w:spacing w:after="120" w:line="360" w:lineRule="auto"/>
        <w:ind w:firstLine="720"/>
        <w:outlineLvl w:val="3"/>
        <w:rPr>
          <w:szCs w:val="24"/>
        </w:rPr>
      </w:pPr>
      <w:r w:rsidRPr="00220560">
        <w:rPr>
          <w:b/>
          <w:szCs w:val="24"/>
        </w:rPr>
        <w:t>COMES NOW</w:t>
      </w:r>
      <w:r w:rsidRPr="00220560">
        <w:rPr>
          <w:szCs w:val="24"/>
        </w:rPr>
        <w:t xml:space="preserve"> the Staff of the Public Utility Commission of Texas (Staff), representing the public interest,</w:t>
      </w:r>
      <w:r w:rsidRPr="00220560">
        <w:rPr>
          <w:b/>
          <w:sz w:val="28"/>
          <w:szCs w:val="24"/>
        </w:rPr>
        <w:t xml:space="preserve"> </w:t>
      </w:r>
      <w:r w:rsidRPr="00220560">
        <w:rPr>
          <w:szCs w:val="24"/>
        </w:rPr>
        <w:t xml:space="preserve">and files this </w:t>
      </w:r>
      <w:r>
        <w:rPr>
          <w:szCs w:val="24"/>
        </w:rPr>
        <w:t>Recommendation</w:t>
      </w:r>
      <w:r w:rsidRPr="00220560">
        <w:rPr>
          <w:szCs w:val="24"/>
        </w:rPr>
        <w:t xml:space="preserve"> on </w:t>
      </w:r>
      <w:r>
        <w:rPr>
          <w:szCs w:val="24"/>
        </w:rPr>
        <w:t>Sufficiency of Notice</w:t>
      </w:r>
      <w:r w:rsidRPr="00220560">
        <w:rPr>
          <w:szCs w:val="24"/>
        </w:rPr>
        <w:t xml:space="preserve"> and Proposed Procedural Schedule. Staff recommends that </w:t>
      </w:r>
      <w:r>
        <w:rPr>
          <w:szCs w:val="24"/>
        </w:rPr>
        <w:t xml:space="preserve">notice be deemed </w:t>
      </w:r>
      <w:proofErr w:type="gramStart"/>
      <w:r>
        <w:rPr>
          <w:szCs w:val="24"/>
        </w:rPr>
        <w:t>sufficient</w:t>
      </w:r>
      <w:proofErr w:type="gramEnd"/>
      <w:r w:rsidRPr="00220560">
        <w:rPr>
          <w:szCs w:val="24"/>
        </w:rPr>
        <w:t>.  In support thereof, Staff shows the following:</w:t>
      </w:r>
    </w:p>
    <w:p w14:paraId="691B87EE" w14:textId="77777777" w:rsidR="00FB00B7" w:rsidRDefault="00FB00B7" w:rsidP="00FB00B7">
      <w:pPr>
        <w:pStyle w:val="ListParagraph"/>
        <w:numPr>
          <w:ilvl w:val="0"/>
          <w:numId w:val="1"/>
        </w:numPr>
        <w:spacing w:line="360" w:lineRule="auto"/>
        <w:ind w:left="0" w:firstLine="0"/>
        <w:jc w:val="center"/>
        <w:rPr>
          <w:b/>
        </w:rPr>
      </w:pPr>
      <w:r>
        <w:rPr>
          <w:b/>
        </w:rPr>
        <w:t>BACKGROUND</w:t>
      </w:r>
    </w:p>
    <w:p w14:paraId="603A9DC2" w14:textId="6FAFD798" w:rsidR="00FB00B7" w:rsidRPr="004F5D58" w:rsidRDefault="00FB00B7" w:rsidP="00FB00B7">
      <w:pPr>
        <w:autoSpaceDE w:val="0"/>
        <w:autoSpaceDN w:val="0"/>
        <w:adjustRightInd w:val="0"/>
        <w:spacing w:line="360" w:lineRule="auto"/>
      </w:pPr>
      <w:r>
        <w:rPr>
          <w:szCs w:val="24"/>
        </w:rPr>
        <w:tab/>
      </w:r>
      <w:r>
        <w:t xml:space="preserve">On February 24, 2020, Polonia Water Supply Corporation (Polonia WSC) and the City of Lockhart (Lockhart) (the "Applicants") filed an application for sale, transfer, or merger of facilities and certificate of convenience and necessity (CCN) rights in Caldwell County. Polonia WSC seeks to transfer a portion of its water service area held under CCN No. 10420 to Lockhart. The Applicants filed supplemental information on April 3, 2020 and April 9, 2020. </w:t>
      </w:r>
      <w:r w:rsidR="000401F3">
        <w:t xml:space="preserve">The Applicants filed proof of notice on June 15, 2020. </w:t>
      </w:r>
    </w:p>
    <w:p w14:paraId="43C315AF" w14:textId="120984F1" w:rsidR="00FB00B7" w:rsidRDefault="00FB00B7" w:rsidP="00FB00B7">
      <w:pPr>
        <w:spacing w:after="240" w:line="360" w:lineRule="auto"/>
        <w:ind w:firstLine="720"/>
      </w:pPr>
      <w:r>
        <w:t>On May 18, 2020, Order No. 4 was issued establishing a deadline of June 25, 2020, for Staff to file a recommendation on the sufficiency of notice.  Therefore, this pleading is timely filed.</w:t>
      </w:r>
    </w:p>
    <w:p w14:paraId="0B0D38A0" w14:textId="77777777" w:rsidR="00FB00B7" w:rsidRPr="00FB00B7" w:rsidRDefault="00FB00B7" w:rsidP="00FB00B7">
      <w:pPr>
        <w:numPr>
          <w:ilvl w:val="0"/>
          <w:numId w:val="1"/>
        </w:numPr>
        <w:spacing w:after="160" w:line="360" w:lineRule="auto"/>
        <w:contextualSpacing/>
        <w:jc w:val="center"/>
        <w:rPr>
          <w:b/>
        </w:rPr>
      </w:pPr>
      <w:r w:rsidRPr="00FB00B7">
        <w:rPr>
          <w:b/>
        </w:rPr>
        <w:t>NOTICE</w:t>
      </w:r>
    </w:p>
    <w:p w14:paraId="29E0671E" w14:textId="306256AE" w:rsidR="00FB00B7" w:rsidRPr="00540CC1" w:rsidRDefault="00FB00B7" w:rsidP="00540CC1">
      <w:pPr>
        <w:spacing w:line="360" w:lineRule="auto"/>
        <w:ind w:firstLine="720"/>
      </w:pPr>
      <w:r w:rsidRPr="00FB00B7">
        <w:t xml:space="preserve">Staff has reviewed the notice documentation filed by </w:t>
      </w:r>
      <w:r>
        <w:t>Applicants</w:t>
      </w:r>
      <w:r w:rsidRPr="00FB00B7">
        <w:t xml:space="preserve"> on </w:t>
      </w:r>
      <w:r>
        <w:t>June</w:t>
      </w:r>
      <w:r w:rsidRPr="00FB00B7">
        <w:t xml:space="preserve"> </w:t>
      </w:r>
      <w:r>
        <w:t>15</w:t>
      </w:r>
      <w:r w:rsidRPr="00FB00B7">
        <w:t xml:space="preserve">, 2020. </w:t>
      </w:r>
      <w:r>
        <w:t>Applicants</w:t>
      </w:r>
      <w:r w:rsidRPr="00FB00B7">
        <w:t xml:space="preserve"> filed an Affidavit of Notice to Current Customers, Neighboring Utilities, and Affected Parties indicating that notice of the application was mailed to the entities listed on the affidavits on </w:t>
      </w:r>
      <w:r>
        <w:t>May</w:t>
      </w:r>
      <w:r w:rsidRPr="00FB00B7">
        <w:t xml:space="preserve"> </w:t>
      </w:r>
      <w:r>
        <w:t>29</w:t>
      </w:r>
      <w:r w:rsidRPr="00FB00B7">
        <w:t xml:space="preserve">, 2020. </w:t>
      </w:r>
      <w:r>
        <w:t>Further, Applicants provided proof of publication in a newspaper of gener</w:t>
      </w:r>
      <w:r w:rsidR="00255517">
        <w:t xml:space="preserve">al circulation in Caldwell County, the Lockhart Post-Register, for two weeks on June 4, 2020 and June 11, 2020.  </w:t>
      </w:r>
      <w:r w:rsidRPr="00FB00B7">
        <w:t>Following a review of the notice of application filings</w:t>
      </w:r>
      <w:r w:rsidR="00255517">
        <w:t xml:space="preserve"> provided by Applicants</w:t>
      </w:r>
      <w:r w:rsidRPr="00FB00B7">
        <w:t xml:space="preserve">, Staff recommends that </w:t>
      </w:r>
      <w:r w:rsidR="00255517">
        <w:t>Applicants</w:t>
      </w:r>
      <w:r w:rsidR="00255517" w:rsidRPr="00FB00B7">
        <w:t>’</w:t>
      </w:r>
      <w:r w:rsidRPr="00FB00B7">
        <w:t xml:space="preserve"> notice be deemed </w:t>
      </w:r>
      <w:proofErr w:type="gramStart"/>
      <w:r w:rsidRPr="00FB00B7">
        <w:t>sufficient</w:t>
      </w:r>
      <w:proofErr w:type="gramEnd"/>
      <w:r w:rsidR="00255517">
        <w:t xml:space="preserve"> in accordance with 16 Texas Administrative Code (TAC) §24.239. </w:t>
      </w:r>
    </w:p>
    <w:p w14:paraId="20E0B700" w14:textId="77777777" w:rsidR="00FB00B7" w:rsidRPr="00FB00B7" w:rsidRDefault="00FB00B7" w:rsidP="00FB00B7">
      <w:pPr>
        <w:widowControl w:val="0"/>
        <w:numPr>
          <w:ilvl w:val="0"/>
          <w:numId w:val="1"/>
        </w:numPr>
        <w:autoSpaceDE w:val="0"/>
        <w:autoSpaceDN w:val="0"/>
        <w:adjustRightInd w:val="0"/>
        <w:spacing w:after="160" w:line="360" w:lineRule="auto"/>
        <w:contextualSpacing/>
        <w:jc w:val="center"/>
        <w:rPr>
          <w:b/>
          <w:szCs w:val="24"/>
        </w:rPr>
      </w:pPr>
      <w:r w:rsidRPr="00FB00B7">
        <w:rPr>
          <w:b/>
        </w:rPr>
        <w:lastRenderedPageBreak/>
        <w:t>PROCEDURAL SCHEDULE</w:t>
      </w:r>
    </w:p>
    <w:p w14:paraId="67D95151" w14:textId="264FD2D9" w:rsidR="00FB00B7" w:rsidRPr="00FB00B7" w:rsidRDefault="00FB00B7" w:rsidP="00FB00B7">
      <w:pPr>
        <w:spacing w:line="360" w:lineRule="auto"/>
        <w:ind w:firstLine="720"/>
        <w:contextualSpacing/>
      </w:pPr>
      <w:r w:rsidRPr="00FB00B7">
        <w:t xml:space="preserve">In accordance with Staff’s recommendation that </w:t>
      </w:r>
      <w:r w:rsidR="00255517">
        <w:t>Applicant</w:t>
      </w:r>
      <w:r w:rsidRPr="00FB00B7">
        <w:t xml:space="preserve">’s notice be found </w:t>
      </w:r>
      <w:proofErr w:type="gramStart"/>
      <w:r w:rsidRPr="00FB00B7">
        <w:t>sufficient</w:t>
      </w:r>
      <w:proofErr w:type="gramEnd"/>
      <w:r w:rsidRPr="00FB00B7">
        <w:t>,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FB00B7" w:rsidRPr="00FB00B7" w14:paraId="0DE62246" w14:textId="77777777" w:rsidTr="00FF12AE">
        <w:trPr>
          <w:trHeight w:val="260"/>
        </w:trPr>
        <w:tc>
          <w:tcPr>
            <w:tcW w:w="5524" w:type="dxa"/>
            <w:shd w:val="clear" w:color="auto" w:fill="auto"/>
            <w:vAlign w:val="center"/>
          </w:tcPr>
          <w:p w14:paraId="171173DC" w14:textId="77777777" w:rsidR="00FB00B7" w:rsidRPr="00FB00B7" w:rsidRDefault="00FB00B7" w:rsidP="00FB00B7">
            <w:pPr>
              <w:keepNext/>
              <w:spacing w:line="360" w:lineRule="auto"/>
              <w:jc w:val="center"/>
              <w:rPr>
                <w:b/>
              </w:rPr>
            </w:pPr>
            <w:r w:rsidRPr="00FB00B7">
              <w:rPr>
                <w:b/>
              </w:rPr>
              <w:t>Event</w:t>
            </w:r>
          </w:p>
        </w:tc>
        <w:tc>
          <w:tcPr>
            <w:tcW w:w="3826" w:type="dxa"/>
            <w:shd w:val="clear" w:color="auto" w:fill="auto"/>
          </w:tcPr>
          <w:p w14:paraId="139673D3" w14:textId="77777777" w:rsidR="00FB00B7" w:rsidRPr="00FB00B7" w:rsidRDefault="00FB00B7" w:rsidP="00FB00B7">
            <w:pPr>
              <w:keepNext/>
              <w:spacing w:line="360" w:lineRule="auto"/>
              <w:jc w:val="center"/>
              <w:rPr>
                <w:b/>
              </w:rPr>
            </w:pPr>
            <w:r w:rsidRPr="00FB00B7">
              <w:rPr>
                <w:b/>
              </w:rPr>
              <w:t>Date</w:t>
            </w:r>
          </w:p>
        </w:tc>
      </w:tr>
      <w:tr w:rsidR="00FB00B7" w:rsidRPr="00FB00B7" w14:paraId="33DEB9FC" w14:textId="77777777" w:rsidTr="00FF12AE">
        <w:trPr>
          <w:trHeight w:val="557"/>
        </w:trPr>
        <w:tc>
          <w:tcPr>
            <w:tcW w:w="5524" w:type="dxa"/>
            <w:shd w:val="clear" w:color="auto" w:fill="auto"/>
          </w:tcPr>
          <w:p w14:paraId="50BD88E2" w14:textId="77777777" w:rsidR="00FB00B7" w:rsidRPr="00FB00B7" w:rsidRDefault="00FB00B7" w:rsidP="00FB00B7">
            <w:pPr>
              <w:autoSpaceDE w:val="0"/>
              <w:autoSpaceDN w:val="0"/>
              <w:adjustRightInd w:val="0"/>
              <w:jc w:val="left"/>
              <w:rPr>
                <w:szCs w:val="24"/>
              </w:rPr>
            </w:pPr>
            <w:r w:rsidRPr="00FB00B7">
              <w:rPr>
                <w:rFonts w:eastAsia="Calibri"/>
                <w:szCs w:val="24"/>
              </w:rPr>
              <w:t>Notice complete</w:t>
            </w:r>
          </w:p>
        </w:tc>
        <w:tc>
          <w:tcPr>
            <w:tcW w:w="3826" w:type="dxa"/>
            <w:shd w:val="clear" w:color="auto" w:fill="auto"/>
          </w:tcPr>
          <w:p w14:paraId="12391B73" w14:textId="3FB2591E" w:rsidR="00FB00B7" w:rsidRPr="00FB00B7" w:rsidRDefault="00255517" w:rsidP="00FB00B7">
            <w:pPr>
              <w:keepNext/>
              <w:jc w:val="left"/>
              <w:rPr>
                <w:szCs w:val="24"/>
              </w:rPr>
            </w:pPr>
            <w:r>
              <w:rPr>
                <w:szCs w:val="24"/>
              </w:rPr>
              <w:t xml:space="preserve">May </w:t>
            </w:r>
            <w:r w:rsidR="000401F3">
              <w:rPr>
                <w:szCs w:val="24"/>
              </w:rPr>
              <w:t>29</w:t>
            </w:r>
            <w:r w:rsidR="00FB00B7" w:rsidRPr="00FB00B7">
              <w:rPr>
                <w:szCs w:val="24"/>
              </w:rPr>
              <w:t>, 2020</w:t>
            </w:r>
          </w:p>
        </w:tc>
      </w:tr>
      <w:tr w:rsidR="00FB00B7" w:rsidRPr="00FB00B7" w14:paraId="7DBEDF50" w14:textId="77777777" w:rsidTr="00FF12AE">
        <w:trPr>
          <w:trHeight w:val="530"/>
        </w:trPr>
        <w:tc>
          <w:tcPr>
            <w:tcW w:w="5524" w:type="dxa"/>
            <w:shd w:val="clear" w:color="auto" w:fill="auto"/>
          </w:tcPr>
          <w:p w14:paraId="0291BCA9" w14:textId="77777777" w:rsidR="00FB00B7" w:rsidRPr="00FB00B7" w:rsidRDefault="00FB00B7" w:rsidP="00FB00B7">
            <w:pPr>
              <w:autoSpaceDE w:val="0"/>
              <w:autoSpaceDN w:val="0"/>
              <w:adjustRightInd w:val="0"/>
              <w:jc w:val="left"/>
              <w:rPr>
                <w:rFonts w:eastAsia="Calibri"/>
                <w:szCs w:val="24"/>
              </w:rPr>
            </w:pPr>
            <w:r w:rsidRPr="00FB00B7">
              <w:rPr>
                <w:rFonts w:eastAsia="Calibri"/>
                <w:szCs w:val="24"/>
              </w:rPr>
              <w:t>Deadline for intervention</w:t>
            </w:r>
          </w:p>
        </w:tc>
        <w:tc>
          <w:tcPr>
            <w:tcW w:w="3826" w:type="dxa"/>
            <w:shd w:val="clear" w:color="auto" w:fill="auto"/>
          </w:tcPr>
          <w:p w14:paraId="2BFF5725" w14:textId="26A98987" w:rsidR="00FB00B7" w:rsidRPr="00FB00B7" w:rsidRDefault="000401F3" w:rsidP="00FB00B7">
            <w:pPr>
              <w:keepNext/>
              <w:jc w:val="left"/>
              <w:rPr>
                <w:szCs w:val="24"/>
              </w:rPr>
            </w:pPr>
            <w:r>
              <w:rPr>
                <w:szCs w:val="24"/>
              </w:rPr>
              <w:t>June</w:t>
            </w:r>
            <w:r w:rsidR="00FB00B7" w:rsidRPr="00FB00B7">
              <w:rPr>
                <w:szCs w:val="24"/>
              </w:rPr>
              <w:t xml:space="preserve"> 2</w:t>
            </w:r>
            <w:r>
              <w:rPr>
                <w:szCs w:val="24"/>
              </w:rPr>
              <w:t>9</w:t>
            </w:r>
            <w:r w:rsidR="00FB00B7" w:rsidRPr="00FB00B7">
              <w:rPr>
                <w:szCs w:val="24"/>
              </w:rPr>
              <w:t>, 2020</w:t>
            </w:r>
            <w:r w:rsidR="00FB00B7" w:rsidRPr="00FB00B7">
              <w:rPr>
                <w:szCs w:val="24"/>
                <w:vertAlign w:val="superscript"/>
              </w:rPr>
              <w:footnoteReference w:id="1"/>
            </w:r>
          </w:p>
        </w:tc>
      </w:tr>
      <w:tr w:rsidR="00FB00B7" w:rsidRPr="00FB00B7" w14:paraId="31C28018" w14:textId="77777777" w:rsidTr="00FF12AE">
        <w:trPr>
          <w:trHeight w:val="611"/>
        </w:trPr>
        <w:tc>
          <w:tcPr>
            <w:tcW w:w="5524" w:type="dxa"/>
            <w:shd w:val="clear" w:color="auto" w:fill="auto"/>
          </w:tcPr>
          <w:p w14:paraId="1E89EBBD" w14:textId="77777777" w:rsidR="00FB00B7" w:rsidRPr="00FB00B7" w:rsidRDefault="00FB00B7" w:rsidP="00FB00B7">
            <w:pPr>
              <w:autoSpaceDE w:val="0"/>
              <w:autoSpaceDN w:val="0"/>
              <w:adjustRightInd w:val="0"/>
              <w:jc w:val="left"/>
              <w:rPr>
                <w:rFonts w:eastAsia="Calibri"/>
                <w:szCs w:val="24"/>
              </w:rPr>
            </w:pPr>
            <w:r w:rsidRPr="00FB00B7">
              <w:rPr>
                <w:rFonts w:eastAsia="Calibri"/>
                <w:szCs w:val="24"/>
              </w:rPr>
              <w:t>Deadline for Staff to request a hearing or file a recommendation on the approval of the sale.</w:t>
            </w:r>
          </w:p>
        </w:tc>
        <w:tc>
          <w:tcPr>
            <w:tcW w:w="3826" w:type="dxa"/>
            <w:shd w:val="clear" w:color="auto" w:fill="auto"/>
          </w:tcPr>
          <w:p w14:paraId="2C2565E3" w14:textId="345D4F29" w:rsidR="00FB00B7" w:rsidRPr="00FB00B7" w:rsidRDefault="00FB00B7" w:rsidP="00FB00B7">
            <w:pPr>
              <w:keepNext/>
              <w:jc w:val="left"/>
              <w:rPr>
                <w:szCs w:val="24"/>
              </w:rPr>
            </w:pPr>
            <w:r w:rsidRPr="00FB00B7">
              <w:rPr>
                <w:szCs w:val="24"/>
              </w:rPr>
              <w:t>Ju</w:t>
            </w:r>
            <w:r w:rsidR="000401F3">
              <w:rPr>
                <w:szCs w:val="24"/>
              </w:rPr>
              <w:t>ly</w:t>
            </w:r>
            <w:r w:rsidRPr="00FB00B7">
              <w:rPr>
                <w:szCs w:val="24"/>
              </w:rPr>
              <w:t xml:space="preserve"> 29, 2020</w:t>
            </w:r>
          </w:p>
        </w:tc>
      </w:tr>
      <w:tr w:rsidR="00FB00B7" w:rsidRPr="00FB00B7" w14:paraId="76B55EF5" w14:textId="77777777" w:rsidTr="00FF12AE">
        <w:trPr>
          <w:trHeight w:val="611"/>
        </w:trPr>
        <w:tc>
          <w:tcPr>
            <w:tcW w:w="5524" w:type="dxa"/>
            <w:shd w:val="clear" w:color="auto" w:fill="auto"/>
          </w:tcPr>
          <w:p w14:paraId="0DB8EF44" w14:textId="77777777" w:rsidR="00FB00B7" w:rsidRPr="00FB00B7" w:rsidRDefault="00FB00B7" w:rsidP="00FB00B7">
            <w:pPr>
              <w:autoSpaceDE w:val="0"/>
              <w:autoSpaceDN w:val="0"/>
              <w:adjustRightInd w:val="0"/>
              <w:jc w:val="left"/>
              <w:rPr>
                <w:rFonts w:eastAsia="Calibri"/>
                <w:szCs w:val="24"/>
              </w:rPr>
            </w:pPr>
            <w:r w:rsidRPr="00FB00B7">
              <w:rPr>
                <w:rFonts w:eastAsia="Calibri"/>
                <w:szCs w:val="24"/>
              </w:rPr>
              <w:t>Deadline for parties to file a response to Staff’s recommendation</w:t>
            </w:r>
          </w:p>
        </w:tc>
        <w:tc>
          <w:tcPr>
            <w:tcW w:w="3826" w:type="dxa"/>
            <w:shd w:val="clear" w:color="auto" w:fill="auto"/>
          </w:tcPr>
          <w:p w14:paraId="0ABFAF51" w14:textId="785F9689" w:rsidR="00FB00B7" w:rsidRPr="00FB00B7" w:rsidRDefault="000401F3" w:rsidP="00FB00B7">
            <w:pPr>
              <w:keepNext/>
              <w:jc w:val="left"/>
              <w:rPr>
                <w:szCs w:val="24"/>
              </w:rPr>
            </w:pPr>
            <w:r>
              <w:rPr>
                <w:szCs w:val="24"/>
              </w:rPr>
              <w:t>August</w:t>
            </w:r>
            <w:r w:rsidR="00FB00B7" w:rsidRPr="00FB00B7">
              <w:rPr>
                <w:szCs w:val="24"/>
              </w:rPr>
              <w:t xml:space="preserve"> 2</w:t>
            </w:r>
            <w:r>
              <w:rPr>
                <w:szCs w:val="24"/>
              </w:rPr>
              <w:t>8</w:t>
            </w:r>
            <w:r w:rsidR="00FB00B7" w:rsidRPr="00FB00B7">
              <w:rPr>
                <w:szCs w:val="24"/>
              </w:rPr>
              <w:t>, 2020</w:t>
            </w:r>
          </w:p>
        </w:tc>
      </w:tr>
      <w:tr w:rsidR="00FB00B7" w:rsidRPr="00FB00B7" w14:paraId="1E540783" w14:textId="77777777" w:rsidTr="00FF12AE">
        <w:trPr>
          <w:trHeight w:val="611"/>
        </w:trPr>
        <w:tc>
          <w:tcPr>
            <w:tcW w:w="5524" w:type="dxa"/>
            <w:shd w:val="clear" w:color="auto" w:fill="auto"/>
          </w:tcPr>
          <w:p w14:paraId="2708E779" w14:textId="77777777" w:rsidR="00FB00B7" w:rsidRPr="00FB00B7" w:rsidRDefault="00FB00B7" w:rsidP="00FB00B7">
            <w:pPr>
              <w:autoSpaceDE w:val="0"/>
              <w:autoSpaceDN w:val="0"/>
              <w:adjustRightInd w:val="0"/>
              <w:jc w:val="left"/>
              <w:rPr>
                <w:rFonts w:eastAsia="Calibri"/>
                <w:szCs w:val="24"/>
              </w:rPr>
            </w:pPr>
            <w:proofErr w:type="gramStart"/>
            <w:r w:rsidRPr="00FB00B7">
              <w:rPr>
                <w:rFonts w:eastAsia="Calibri"/>
                <w:szCs w:val="24"/>
              </w:rPr>
              <w:t>120 day</w:t>
            </w:r>
            <w:proofErr w:type="gramEnd"/>
            <w:r w:rsidRPr="00FB00B7">
              <w:rPr>
                <w:rFonts w:eastAsia="Calibri"/>
                <w:szCs w:val="24"/>
              </w:rPr>
              <w:t xml:space="preserve"> deadline for the Commission to approve the sale or require a hearing</w:t>
            </w:r>
          </w:p>
        </w:tc>
        <w:tc>
          <w:tcPr>
            <w:tcW w:w="3826" w:type="dxa"/>
            <w:shd w:val="clear" w:color="auto" w:fill="auto"/>
          </w:tcPr>
          <w:p w14:paraId="1BA4DA36" w14:textId="02B31627" w:rsidR="00FB00B7" w:rsidRPr="00FB00B7" w:rsidRDefault="000401F3" w:rsidP="00FB00B7">
            <w:pPr>
              <w:keepNext/>
              <w:jc w:val="left"/>
              <w:rPr>
                <w:szCs w:val="24"/>
              </w:rPr>
            </w:pPr>
            <w:r>
              <w:rPr>
                <w:szCs w:val="24"/>
              </w:rPr>
              <w:t xml:space="preserve">September </w:t>
            </w:r>
            <w:r w:rsidR="00FB00B7" w:rsidRPr="00FB00B7">
              <w:rPr>
                <w:szCs w:val="24"/>
              </w:rPr>
              <w:t>2</w:t>
            </w:r>
            <w:r>
              <w:rPr>
                <w:szCs w:val="24"/>
              </w:rPr>
              <w:t>8</w:t>
            </w:r>
            <w:r w:rsidR="00FB00B7" w:rsidRPr="00FB00B7">
              <w:rPr>
                <w:szCs w:val="24"/>
              </w:rPr>
              <w:t>, 2020</w:t>
            </w:r>
            <w:r w:rsidR="00FB00B7" w:rsidRPr="00FB00B7">
              <w:rPr>
                <w:szCs w:val="24"/>
                <w:vertAlign w:val="superscript"/>
              </w:rPr>
              <w:footnoteReference w:id="2"/>
            </w:r>
          </w:p>
        </w:tc>
      </w:tr>
    </w:tbl>
    <w:p w14:paraId="18B0E16B" w14:textId="77777777" w:rsidR="00FB00B7" w:rsidRPr="00FB00B7" w:rsidRDefault="00FB00B7" w:rsidP="00FB00B7">
      <w:pPr>
        <w:spacing w:line="360" w:lineRule="auto"/>
        <w:ind w:left="1080"/>
        <w:contextualSpacing/>
        <w:rPr>
          <w:szCs w:val="24"/>
        </w:rPr>
      </w:pPr>
    </w:p>
    <w:p w14:paraId="54C47B85" w14:textId="77777777" w:rsidR="00FB00B7" w:rsidRPr="00FB00B7" w:rsidRDefault="00FB00B7" w:rsidP="00FB00B7">
      <w:pPr>
        <w:numPr>
          <w:ilvl w:val="0"/>
          <w:numId w:val="6"/>
        </w:numPr>
        <w:spacing w:after="160" w:line="360" w:lineRule="auto"/>
        <w:contextualSpacing/>
        <w:jc w:val="center"/>
        <w:rPr>
          <w:b/>
        </w:rPr>
      </w:pPr>
      <w:r w:rsidRPr="00FB00B7">
        <w:rPr>
          <w:b/>
        </w:rPr>
        <w:t>CONCLUSION</w:t>
      </w:r>
    </w:p>
    <w:p w14:paraId="10C37942" w14:textId="77777777" w:rsidR="00FB00B7" w:rsidRPr="00FB00B7" w:rsidRDefault="00FB00B7" w:rsidP="00FB00B7">
      <w:pPr>
        <w:autoSpaceDE w:val="0"/>
        <w:autoSpaceDN w:val="0"/>
        <w:adjustRightInd w:val="0"/>
        <w:spacing w:line="360" w:lineRule="auto"/>
      </w:pPr>
      <w:r w:rsidRPr="00FB00B7">
        <w:tab/>
        <w:t xml:space="preserve">For the reasons discussed above, Staff respectfully recommends that proof </w:t>
      </w:r>
    </w:p>
    <w:p w14:paraId="63B3C98A" w14:textId="77777777" w:rsidR="00255517" w:rsidRDefault="00FB00B7" w:rsidP="00FB00B7">
      <w:pPr>
        <w:jc w:val="left"/>
      </w:pPr>
      <w:r w:rsidRPr="00FB00B7">
        <w:t xml:space="preserve">of notice be found </w:t>
      </w:r>
      <w:proofErr w:type="gramStart"/>
      <w:r w:rsidRPr="00FB00B7">
        <w:t>sufficient</w:t>
      </w:r>
      <w:proofErr w:type="gramEnd"/>
      <w:r w:rsidRPr="00FB00B7">
        <w:t xml:space="preserve"> and that the procedural schedule proposed above be adopted</w:t>
      </w:r>
    </w:p>
    <w:p w14:paraId="6D0EA612" w14:textId="77777777" w:rsidR="00255517" w:rsidRDefault="00255517" w:rsidP="00FB00B7">
      <w:pPr>
        <w:jc w:val="left"/>
      </w:pPr>
    </w:p>
    <w:p w14:paraId="0F62E12F" w14:textId="77777777" w:rsidR="00255517" w:rsidRDefault="00255517" w:rsidP="00FB00B7">
      <w:pPr>
        <w:jc w:val="left"/>
      </w:pPr>
    </w:p>
    <w:p w14:paraId="551BEC8E" w14:textId="77777777" w:rsidR="00255517" w:rsidRDefault="00255517" w:rsidP="00FB00B7">
      <w:pPr>
        <w:jc w:val="left"/>
      </w:pPr>
    </w:p>
    <w:p w14:paraId="0D157ED0" w14:textId="77777777" w:rsidR="00255517" w:rsidRDefault="00255517" w:rsidP="00FB00B7">
      <w:pPr>
        <w:jc w:val="left"/>
      </w:pPr>
    </w:p>
    <w:p w14:paraId="25CA021B" w14:textId="77777777" w:rsidR="00255517" w:rsidRDefault="00255517" w:rsidP="00FB00B7">
      <w:pPr>
        <w:jc w:val="left"/>
      </w:pPr>
    </w:p>
    <w:p w14:paraId="3AFE4749" w14:textId="77777777" w:rsidR="00255517" w:rsidRDefault="00255517" w:rsidP="00FB00B7">
      <w:pPr>
        <w:jc w:val="left"/>
      </w:pPr>
    </w:p>
    <w:p w14:paraId="7E812AF6" w14:textId="77777777" w:rsidR="00255517" w:rsidRDefault="00255517" w:rsidP="00FB00B7">
      <w:pPr>
        <w:jc w:val="left"/>
      </w:pPr>
    </w:p>
    <w:p w14:paraId="6A70FF3A" w14:textId="77777777" w:rsidR="00255517" w:rsidRDefault="00255517" w:rsidP="00FB00B7">
      <w:pPr>
        <w:jc w:val="left"/>
      </w:pPr>
    </w:p>
    <w:p w14:paraId="67A790B7" w14:textId="77777777" w:rsidR="00255517" w:rsidRDefault="00255517" w:rsidP="00FB00B7">
      <w:pPr>
        <w:jc w:val="left"/>
      </w:pPr>
    </w:p>
    <w:p w14:paraId="7E5FD288" w14:textId="77777777" w:rsidR="00255517" w:rsidRDefault="00255517" w:rsidP="00FB00B7">
      <w:pPr>
        <w:jc w:val="left"/>
      </w:pPr>
    </w:p>
    <w:p w14:paraId="0DF38863" w14:textId="77777777" w:rsidR="00255517" w:rsidRDefault="00255517" w:rsidP="00FB00B7">
      <w:pPr>
        <w:jc w:val="left"/>
      </w:pPr>
    </w:p>
    <w:p w14:paraId="442BD58A" w14:textId="77777777" w:rsidR="00255517" w:rsidRDefault="00255517" w:rsidP="00FB00B7">
      <w:pPr>
        <w:jc w:val="left"/>
      </w:pPr>
    </w:p>
    <w:p w14:paraId="3E4FADC1" w14:textId="30DBCD4B" w:rsidR="00255517" w:rsidRDefault="00255517" w:rsidP="00FB00B7">
      <w:pPr>
        <w:jc w:val="left"/>
      </w:pPr>
    </w:p>
    <w:p w14:paraId="7B5F7CD3" w14:textId="77777777" w:rsidR="000401F3" w:rsidRDefault="000401F3" w:rsidP="00FB00B7">
      <w:pPr>
        <w:jc w:val="left"/>
      </w:pPr>
    </w:p>
    <w:p w14:paraId="7CF82737" w14:textId="77777777" w:rsidR="00540CC1" w:rsidRDefault="00540CC1" w:rsidP="00255517">
      <w:pPr>
        <w:jc w:val="left"/>
      </w:pPr>
    </w:p>
    <w:p w14:paraId="042872B1" w14:textId="77777777" w:rsidR="00540CC1" w:rsidRDefault="00540CC1" w:rsidP="00255517">
      <w:pPr>
        <w:jc w:val="left"/>
      </w:pPr>
    </w:p>
    <w:p w14:paraId="7924F6F4" w14:textId="77777777" w:rsidR="00540CC1" w:rsidRDefault="00540CC1" w:rsidP="00255517">
      <w:pPr>
        <w:jc w:val="left"/>
      </w:pPr>
    </w:p>
    <w:p w14:paraId="07CD6126" w14:textId="1EC4A61A" w:rsidR="00FB00B7" w:rsidRDefault="00FB00B7" w:rsidP="00255517">
      <w:pPr>
        <w:jc w:val="left"/>
      </w:pPr>
      <w:r>
        <w:lastRenderedPageBreak/>
        <w:t xml:space="preserve">Dated: </w:t>
      </w:r>
      <w:r>
        <w:fldChar w:fldCharType="begin"/>
      </w:r>
      <w:r>
        <w:instrText xml:space="preserve"> DATE \@ "MMMM d, yyyy" </w:instrText>
      </w:r>
      <w:r>
        <w:fldChar w:fldCharType="separate"/>
      </w:r>
      <w:r w:rsidR="00540CC1">
        <w:rPr>
          <w:noProof/>
        </w:rPr>
        <w:t>June 25, 2020</w:t>
      </w:r>
      <w:r>
        <w:fldChar w:fldCharType="end"/>
      </w:r>
    </w:p>
    <w:p w14:paraId="4D37C398" w14:textId="77777777" w:rsidR="00FB00B7" w:rsidRDefault="00FB00B7" w:rsidP="00FB00B7">
      <w:pPr>
        <w:pStyle w:val="Normaldouble"/>
        <w:ind w:left="4320"/>
      </w:pPr>
    </w:p>
    <w:p w14:paraId="2A25488A" w14:textId="6D14ACD8" w:rsidR="00FB00B7" w:rsidRDefault="00FB00B7" w:rsidP="00FB00B7">
      <w:pPr>
        <w:pStyle w:val="Normaldouble"/>
        <w:ind w:left="4320"/>
      </w:pPr>
      <w:r>
        <w:t>Respectfully submitted,</w:t>
      </w:r>
    </w:p>
    <w:p w14:paraId="735C98AB" w14:textId="77777777" w:rsidR="00FB00B7" w:rsidRPr="00F95914" w:rsidRDefault="00FB00B7" w:rsidP="00FB00B7">
      <w:pPr>
        <w:ind w:left="4320"/>
        <w:contextualSpacing/>
        <w:rPr>
          <w:b/>
          <w:szCs w:val="24"/>
        </w:rPr>
      </w:pPr>
      <w:r w:rsidRPr="00F95914">
        <w:rPr>
          <w:b/>
          <w:szCs w:val="24"/>
        </w:rPr>
        <w:t>PUBLIC UTILITY COMMISSION OF TEXAS LEGAL DIVISION</w:t>
      </w:r>
    </w:p>
    <w:p w14:paraId="4259BD59" w14:textId="77777777" w:rsidR="00FB00B7" w:rsidRDefault="00FB00B7" w:rsidP="00FB00B7">
      <w:pPr>
        <w:pStyle w:val="Normaldouble"/>
        <w:spacing w:line="240" w:lineRule="auto"/>
        <w:ind w:left="3600"/>
      </w:pPr>
    </w:p>
    <w:p w14:paraId="07C1E876" w14:textId="77777777" w:rsidR="00FB00B7" w:rsidRPr="00D91433" w:rsidRDefault="00FB00B7" w:rsidP="00FB00B7">
      <w:pPr>
        <w:ind w:left="4320"/>
      </w:pPr>
      <w:r>
        <w:t>Rachelle Nicolette Robles</w:t>
      </w:r>
    </w:p>
    <w:p w14:paraId="34FFA446" w14:textId="77777777" w:rsidR="00FB00B7" w:rsidRPr="00D91433" w:rsidRDefault="00FB00B7" w:rsidP="00FB00B7">
      <w:pPr>
        <w:ind w:left="4320"/>
        <w:jc w:val="left"/>
      </w:pPr>
      <w:r w:rsidRPr="00D91433">
        <w:t xml:space="preserve">Division Director </w:t>
      </w:r>
    </w:p>
    <w:p w14:paraId="4E4DEE1E" w14:textId="77777777" w:rsidR="00FB00B7" w:rsidRDefault="00FB00B7" w:rsidP="00FB00B7">
      <w:pPr>
        <w:ind w:left="4320"/>
        <w:jc w:val="left"/>
        <w:rPr>
          <w:rFonts w:eastAsia="Calibri"/>
        </w:rPr>
      </w:pPr>
    </w:p>
    <w:p w14:paraId="1EB4C2D4" w14:textId="77777777" w:rsidR="00FB00B7" w:rsidRDefault="00FB00B7" w:rsidP="00FB00B7">
      <w:pPr>
        <w:keepNext/>
        <w:ind w:left="4320"/>
      </w:pPr>
      <w:bookmarkStart w:id="0" w:name="_Hlk23239586"/>
      <w:r>
        <w:rPr>
          <w:szCs w:val="24"/>
        </w:rPr>
        <w:t>Heath D. Armstrong</w:t>
      </w:r>
      <w:bookmarkEnd w:id="0"/>
      <w:r>
        <w:t xml:space="preserve"> </w:t>
      </w:r>
    </w:p>
    <w:p w14:paraId="17A2EEE6" w14:textId="77777777" w:rsidR="00FB00B7" w:rsidRDefault="00FB00B7" w:rsidP="00FB00B7">
      <w:pPr>
        <w:keepNext/>
        <w:ind w:left="4320"/>
      </w:pPr>
      <w:r>
        <w:t>Managing Attorney</w:t>
      </w:r>
    </w:p>
    <w:p w14:paraId="60B3A3A7" w14:textId="77777777" w:rsidR="00FB00B7" w:rsidRDefault="00FB00B7" w:rsidP="00FB00B7">
      <w:pPr>
        <w:pStyle w:val="Normaldouble"/>
        <w:spacing w:line="240" w:lineRule="auto"/>
        <w:jc w:val="left"/>
      </w:pPr>
    </w:p>
    <w:p w14:paraId="669A1D0D" w14:textId="77777777" w:rsidR="00FB00B7" w:rsidRDefault="00FB00B7" w:rsidP="00FB00B7">
      <w:pPr>
        <w:pStyle w:val="Normaldouble"/>
        <w:spacing w:line="240" w:lineRule="auto"/>
      </w:pPr>
    </w:p>
    <w:p w14:paraId="41595E54" w14:textId="69EFE3C4" w:rsidR="00FB00B7" w:rsidRPr="00B41261" w:rsidRDefault="00FB00B7" w:rsidP="00FB00B7">
      <w:pPr>
        <w:pStyle w:val="Normaldouble"/>
        <w:spacing w:line="240" w:lineRule="auto"/>
        <w:rPr>
          <w:u w:val="single"/>
        </w:rPr>
      </w:pPr>
      <w:r>
        <w:tab/>
      </w:r>
      <w:r>
        <w:tab/>
      </w:r>
      <w:r>
        <w:tab/>
      </w:r>
      <w:r>
        <w:tab/>
      </w:r>
      <w:r>
        <w:tab/>
      </w:r>
      <w:r>
        <w:tab/>
      </w:r>
      <w:r w:rsidR="00540CC1">
        <w:rPr>
          <w:u w:val="single"/>
        </w:rPr>
        <w:t>/s/ Robert Dakota Parish__</w:t>
      </w:r>
    </w:p>
    <w:p w14:paraId="1C8497DB" w14:textId="77777777" w:rsidR="00FB00B7" w:rsidRDefault="00FB00B7" w:rsidP="00FB00B7">
      <w:pPr>
        <w:pStyle w:val="Normaldouble"/>
        <w:spacing w:line="240" w:lineRule="auto"/>
      </w:pPr>
      <w:r>
        <w:tab/>
      </w:r>
      <w:r>
        <w:tab/>
      </w:r>
      <w:r>
        <w:tab/>
      </w:r>
      <w:r>
        <w:tab/>
      </w:r>
      <w:r>
        <w:tab/>
      </w:r>
      <w:r>
        <w:tab/>
      </w:r>
      <w:bookmarkStart w:id="1" w:name="_Hlk40191119"/>
      <w:r>
        <w:t>Robert Dakota Parish</w:t>
      </w:r>
      <w:r>
        <w:tab/>
      </w:r>
      <w:bookmarkEnd w:id="1"/>
      <w:r>
        <w:tab/>
      </w:r>
      <w:r>
        <w:tab/>
      </w:r>
      <w:r>
        <w:tab/>
      </w:r>
      <w:r>
        <w:tab/>
      </w:r>
      <w:r>
        <w:tab/>
      </w:r>
      <w:r>
        <w:tab/>
      </w:r>
      <w:r>
        <w:tab/>
      </w:r>
      <w:r>
        <w:tab/>
      </w:r>
      <w:r>
        <w:tab/>
      </w:r>
      <w:r>
        <w:tab/>
        <w:t>State Bar No. 24116875</w:t>
      </w:r>
    </w:p>
    <w:p w14:paraId="25C27025" w14:textId="77777777" w:rsidR="00FB00B7" w:rsidRDefault="00FB00B7" w:rsidP="00FB00B7">
      <w:pPr>
        <w:pStyle w:val="Normaldouble"/>
        <w:spacing w:line="240" w:lineRule="auto"/>
      </w:pPr>
      <w:r>
        <w:tab/>
      </w:r>
      <w:r>
        <w:tab/>
      </w:r>
      <w:r>
        <w:tab/>
      </w:r>
      <w:r>
        <w:tab/>
      </w:r>
      <w:r>
        <w:tab/>
      </w:r>
      <w:r>
        <w:tab/>
        <w:t>1701 N. Congress Avenue</w:t>
      </w:r>
    </w:p>
    <w:p w14:paraId="2F550F23" w14:textId="77777777" w:rsidR="00FB00B7" w:rsidRDefault="00FB00B7" w:rsidP="00FB00B7">
      <w:pPr>
        <w:pStyle w:val="Normaldouble"/>
        <w:spacing w:line="240" w:lineRule="auto"/>
      </w:pPr>
      <w:r>
        <w:tab/>
      </w:r>
      <w:r>
        <w:tab/>
      </w:r>
      <w:r>
        <w:tab/>
      </w:r>
      <w:r>
        <w:tab/>
      </w:r>
      <w:r>
        <w:tab/>
      </w:r>
      <w:r>
        <w:tab/>
        <w:t>P.O. Box 13326</w:t>
      </w:r>
    </w:p>
    <w:p w14:paraId="6D32876E" w14:textId="77777777" w:rsidR="00FB00B7" w:rsidRDefault="00FB00B7" w:rsidP="00FB00B7">
      <w:pPr>
        <w:pStyle w:val="Normaldouble"/>
        <w:spacing w:line="240" w:lineRule="auto"/>
      </w:pPr>
      <w:r>
        <w:tab/>
      </w:r>
      <w:r>
        <w:tab/>
      </w:r>
      <w:r>
        <w:tab/>
      </w:r>
      <w:r>
        <w:tab/>
      </w:r>
      <w:r>
        <w:tab/>
      </w:r>
      <w:r>
        <w:tab/>
        <w:t>Austin, Texas 78711-3326</w:t>
      </w:r>
    </w:p>
    <w:p w14:paraId="46827F5F" w14:textId="77777777" w:rsidR="00FB00B7" w:rsidRDefault="00FB00B7" w:rsidP="00FB00B7">
      <w:pPr>
        <w:pStyle w:val="Normaldouble"/>
        <w:spacing w:line="240" w:lineRule="auto"/>
      </w:pPr>
      <w:r>
        <w:tab/>
      </w:r>
      <w:r>
        <w:tab/>
      </w:r>
      <w:r>
        <w:tab/>
      </w:r>
      <w:r>
        <w:tab/>
      </w:r>
      <w:r>
        <w:tab/>
      </w:r>
      <w:r>
        <w:tab/>
        <w:t>(512) 936-7442</w:t>
      </w:r>
    </w:p>
    <w:p w14:paraId="175D3575" w14:textId="77777777" w:rsidR="00FB00B7" w:rsidRDefault="00FB00B7" w:rsidP="00FB00B7">
      <w:pPr>
        <w:pStyle w:val="Normaldouble"/>
        <w:spacing w:line="240" w:lineRule="auto"/>
      </w:pPr>
      <w:r>
        <w:tab/>
      </w:r>
      <w:r>
        <w:tab/>
      </w:r>
      <w:r>
        <w:tab/>
      </w:r>
      <w:r>
        <w:tab/>
      </w:r>
      <w:r>
        <w:tab/>
      </w:r>
      <w:r>
        <w:tab/>
        <w:t>(512) 936-7268 (facsimile)</w:t>
      </w:r>
    </w:p>
    <w:p w14:paraId="6DD88A17" w14:textId="77777777" w:rsidR="00FB00B7" w:rsidRDefault="00FB00B7" w:rsidP="00FB00B7">
      <w:pPr>
        <w:pStyle w:val="Normaldouble"/>
        <w:spacing w:line="240" w:lineRule="auto"/>
      </w:pPr>
      <w:r>
        <w:tab/>
      </w:r>
      <w:r>
        <w:tab/>
      </w:r>
      <w:r>
        <w:tab/>
      </w:r>
      <w:r>
        <w:tab/>
      </w:r>
      <w:r>
        <w:tab/>
      </w:r>
      <w:r>
        <w:tab/>
        <w:t>Robert.Parish@puc.texas.gov</w:t>
      </w:r>
    </w:p>
    <w:p w14:paraId="2736843A" w14:textId="77777777" w:rsidR="00FB00B7" w:rsidRPr="007D0E18" w:rsidRDefault="00FB00B7" w:rsidP="00FB00B7">
      <w:pPr>
        <w:ind w:left="3600"/>
      </w:pPr>
    </w:p>
    <w:p w14:paraId="717B5FE3" w14:textId="77777777" w:rsidR="00FB00B7" w:rsidRDefault="00FB00B7" w:rsidP="00FB00B7">
      <w:pPr>
        <w:jc w:val="center"/>
        <w:rPr>
          <w:b/>
          <w:bCs/>
          <w:caps/>
          <w:szCs w:val="24"/>
        </w:rPr>
      </w:pPr>
    </w:p>
    <w:p w14:paraId="251A77DC" w14:textId="77777777" w:rsidR="00FB00B7" w:rsidRDefault="00FB00B7" w:rsidP="00FB00B7">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Pr>
          <w:b/>
          <w:bCs/>
          <w:caps/>
          <w:szCs w:val="24"/>
        </w:rPr>
        <w:t>50585</w:t>
      </w:r>
    </w:p>
    <w:p w14:paraId="0374F816" w14:textId="77777777" w:rsidR="00FB00B7" w:rsidRDefault="00FB00B7" w:rsidP="00FB00B7">
      <w:pPr>
        <w:jc w:val="center"/>
        <w:rPr>
          <w:b/>
          <w:bCs/>
          <w:caps/>
          <w:szCs w:val="24"/>
        </w:rPr>
      </w:pPr>
    </w:p>
    <w:p w14:paraId="395E0A35" w14:textId="77777777" w:rsidR="00FB00B7" w:rsidRPr="007C52EB" w:rsidRDefault="00FB00B7" w:rsidP="00FB00B7">
      <w:pPr>
        <w:keepNext/>
        <w:jc w:val="center"/>
        <w:rPr>
          <w:b/>
          <w:szCs w:val="24"/>
        </w:rPr>
      </w:pPr>
      <w:r w:rsidRPr="007C52EB">
        <w:rPr>
          <w:b/>
          <w:szCs w:val="24"/>
        </w:rPr>
        <w:t>CERTIFICATE OF SERVICE</w:t>
      </w:r>
    </w:p>
    <w:p w14:paraId="67BA5F27" w14:textId="77777777" w:rsidR="00FB00B7" w:rsidRPr="007C52EB" w:rsidRDefault="00FB00B7" w:rsidP="00FB00B7">
      <w:pPr>
        <w:keepNext/>
        <w:jc w:val="center"/>
        <w:rPr>
          <w:b/>
          <w:szCs w:val="24"/>
        </w:rPr>
      </w:pPr>
    </w:p>
    <w:p w14:paraId="73E15B71" w14:textId="0488E006" w:rsidR="00FB00B7" w:rsidRDefault="00FB00B7" w:rsidP="00FB00B7">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540CC1">
        <w:rPr>
          <w:noProof/>
          <w:szCs w:val="24"/>
        </w:rPr>
        <w:t>June 25, 2020</w:t>
      </w:r>
      <w:r>
        <w:rPr>
          <w:szCs w:val="24"/>
        </w:rPr>
        <w:fldChar w:fldCharType="end"/>
      </w:r>
      <w:r>
        <w:rPr>
          <w:color w:val="0D0D0D"/>
          <w:szCs w:val="24"/>
        </w:rPr>
        <w:t>, in accordance with the Order Suspending Rules, issued in Project No. 50664.</w:t>
      </w:r>
    </w:p>
    <w:p w14:paraId="277DFD0E" w14:textId="77777777" w:rsidR="00FB00B7" w:rsidRPr="007C52EB" w:rsidRDefault="00FB00B7" w:rsidP="00FB00B7">
      <w:pPr>
        <w:keepNext/>
        <w:spacing w:line="360" w:lineRule="auto"/>
        <w:ind w:firstLine="720"/>
        <w:rPr>
          <w:szCs w:val="24"/>
        </w:rPr>
      </w:pPr>
    </w:p>
    <w:p w14:paraId="2761D76E" w14:textId="3227C5D6" w:rsidR="00FB00B7" w:rsidRPr="00B41261" w:rsidRDefault="00540CC1" w:rsidP="00FB00B7">
      <w:pPr>
        <w:keepNext/>
        <w:ind w:left="3600" w:firstLine="720"/>
        <w:rPr>
          <w:szCs w:val="24"/>
          <w:u w:val="single"/>
        </w:rPr>
      </w:pPr>
      <w:r>
        <w:rPr>
          <w:szCs w:val="24"/>
          <w:u w:val="single"/>
        </w:rPr>
        <w:t>/s/ Robert Dakota Parish__</w:t>
      </w:r>
      <w:bookmarkStart w:id="2" w:name="_GoBack"/>
      <w:bookmarkEnd w:id="2"/>
    </w:p>
    <w:p w14:paraId="6F926C87" w14:textId="77777777" w:rsidR="00FB00B7" w:rsidRPr="00F12D2D" w:rsidRDefault="00FB00B7" w:rsidP="00FB00B7">
      <w:pPr>
        <w:overflowPunct w:val="0"/>
        <w:autoSpaceDE w:val="0"/>
        <w:autoSpaceDN w:val="0"/>
        <w:adjustRightInd w:val="0"/>
        <w:ind w:left="3600" w:firstLine="720"/>
        <w:jc w:val="left"/>
        <w:textAlignment w:val="baseline"/>
        <w:rPr>
          <w:rFonts w:eastAsia="Calibri"/>
          <w:szCs w:val="24"/>
        </w:rPr>
      </w:pPr>
      <w:r>
        <w:t>Robert Dakota Parish</w:t>
      </w:r>
      <w:r>
        <w:tab/>
      </w:r>
    </w:p>
    <w:p w14:paraId="14B8D133"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646BE" w14:textId="77777777" w:rsidR="00FB00B7" w:rsidRDefault="00FB00B7" w:rsidP="00FB00B7">
      <w:r>
        <w:separator/>
      </w:r>
    </w:p>
  </w:endnote>
  <w:endnote w:type="continuationSeparator" w:id="0">
    <w:p w14:paraId="3753205C" w14:textId="77777777" w:rsidR="00FB00B7" w:rsidRDefault="00FB00B7" w:rsidP="00FB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A6184" w14:textId="77777777" w:rsidR="009C1544" w:rsidRDefault="000401F3"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5BE324" w14:textId="77777777" w:rsidR="009C1544" w:rsidRDefault="00B4165B"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B56EB" w14:textId="77777777" w:rsidR="009C1544" w:rsidRDefault="000401F3"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FA25953" w14:textId="77777777" w:rsidR="009C1544" w:rsidRDefault="00B4165B" w:rsidP="009B61E3">
    <w:pPr>
      <w:pStyle w:val="Footer"/>
      <w:framePr w:wrap="around" w:vAnchor="text" w:hAnchor="page" w:x="1702" w:y="61"/>
      <w:rPr>
        <w:rStyle w:val="PageNumber"/>
      </w:rPr>
    </w:pPr>
  </w:p>
  <w:p w14:paraId="2249AAD5" w14:textId="77777777" w:rsidR="009C1544" w:rsidRDefault="00B4165B"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47006" w14:textId="77777777" w:rsidR="00FB00B7" w:rsidRDefault="00FB00B7" w:rsidP="00FB00B7">
      <w:r>
        <w:separator/>
      </w:r>
    </w:p>
  </w:footnote>
  <w:footnote w:type="continuationSeparator" w:id="0">
    <w:p w14:paraId="019E2A49" w14:textId="77777777" w:rsidR="00FB00B7" w:rsidRDefault="00FB00B7" w:rsidP="00FB00B7">
      <w:r>
        <w:continuationSeparator/>
      </w:r>
    </w:p>
  </w:footnote>
  <w:footnote w:id="1">
    <w:p w14:paraId="0CD13839" w14:textId="5765212E" w:rsidR="00FB00B7" w:rsidRPr="009759DD" w:rsidRDefault="00FB00B7" w:rsidP="00FB00B7">
      <w:pPr>
        <w:pStyle w:val="FootnoteText"/>
        <w:ind w:firstLine="720"/>
        <w:rPr>
          <w:rFonts w:ascii="Times New Roman" w:hAnsi="Times New Roman" w:cs="Times New Roman"/>
        </w:rPr>
      </w:pPr>
      <w:r w:rsidRPr="009759DD">
        <w:rPr>
          <w:rStyle w:val="FootnoteReference"/>
          <w:rFonts w:ascii="Times New Roman" w:hAnsi="Times New Roman" w:cs="Times New Roman"/>
        </w:rPr>
        <w:footnoteRef/>
      </w:r>
      <w:r w:rsidRPr="009759DD">
        <w:rPr>
          <w:rFonts w:ascii="Times New Roman" w:hAnsi="Times New Roman" w:cs="Times New Roman"/>
        </w:rPr>
        <w:t xml:space="preserve"> Pursuant to 16 TAC § 24.239(b), the intervention period shall not be less than thirty (30) days unless good cause is shown. Notice was mailed on </w:t>
      </w:r>
      <w:r w:rsidR="000401F3">
        <w:rPr>
          <w:rFonts w:ascii="Times New Roman" w:hAnsi="Times New Roman" w:cs="Times New Roman"/>
        </w:rPr>
        <w:t>May</w:t>
      </w:r>
      <w:r>
        <w:rPr>
          <w:rFonts w:ascii="Times New Roman" w:hAnsi="Times New Roman" w:cs="Times New Roman"/>
        </w:rPr>
        <w:t xml:space="preserve"> </w:t>
      </w:r>
      <w:r w:rsidRPr="009759DD">
        <w:rPr>
          <w:rFonts w:ascii="Times New Roman" w:hAnsi="Times New Roman" w:cs="Times New Roman"/>
        </w:rPr>
        <w:t>2</w:t>
      </w:r>
      <w:r w:rsidR="000401F3">
        <w:rPr>
          <w:rFonts w:ascii="Times New Roman" w:hAnsi="Times New Roman" w:cs="Times New Roman"/>
        </w:rPr>
        <w:t>9</w:t>
      </w:r>
      <w:r w:rsidRPr="009759DD">
        <w:rPr>
          <w:rFonts w:ascii="Times New Roman" w:hAnsi="Times New Roman" w:cs="Times New Roman"/>
        </w:rPr>
        <w:t xml:space="preserve">, 2020. Therefore, thirty (30) days after </w:t>
      </w:r>
      <w:r w:rsidR="000401F3">
        <w:rPr>
          <w:rFonts w:ascii="Times New Roman" w:hAnsi="Times New Roman" w:cs="Times New Roman"/>
        </w:rPr>
        <w:t>May</w:t>
      </w:r>
      <w:r w:rsidRPr="009759DD">
        <w:rPr>
          <w:rFonts w:ascii="Times New Roman" w:hAnsi="Times New Roman" w:cs="Times New Roman"/>
        </w:rPr>
        <w:t xml:space="preserve"> 2</w:t>
      </w:r>
      <w:r w:rsidR="000401F3">
        <w:rPr>
          <w:rFonts w:ascii="Times New Roman" w:hAnsi="Times New Roman" w:cs="Times New Roman"/>
        </w:rPr>
        <w:t>9</w:t>
      </w:r>
      <w:r w:rsidRPr="009759DD">
        <w:rPr>
          <w:rFonts w:ascii="Times New Roman" w:hAnsi="Times New Roman" w:cs="Times New Roman"/>
        </w:rPr>
        <w:t xml:space="preserve">, 2020 is </w:t>
      </w:r>
      <w:r w:rsidR="000401F3">
        <w:rPr>
          <w:rFonts w:ascii="Times New Roman" w:hAnsi="Times New Roman" w:cs="Times New Roman"/>
        </w:rPr>
        <w:t>Monday</w:t>
      </w:r>
      <w:r w:rsidRPr="009759DD">
        <w:rPr>
          <w:rFonts w:ascii="Times New Roman" w:hAnsi="Times New Roman" w:cs="Times New Roman"/>
        </w:rPr>
        <w:t xml:space="preserve">, </w:t>
      </w:r>
      <w:r w:rsidR="000401F3">
        <w:rPr>
          <w:rFonts w:ascii="Times New Roman" w:hAnsi="Times New Roman" w:cs="Times New Roman"/>
        </w:rPr>
        <w:t xml:space="preserve">June </w:t>
      </w:r>
      <w:r w:rsidRPr="009759DD">
        <w:rPr>
          <w:rFonts w:ascii="Times New Roman" w:hAnsi="Times New Roman" w:cs="Times New Roman"/>
        </w:rPr>
        <w:t>2</w:t>
      </w:r>
      <w:r w:rsidR="000401F3">
        <w:rPr>
          <w:rFonts w:ascii="Times New Roman" w:hAnsi="Times New Roman" w:cs="Times New Roman"/>
        </w:rPr>
        <w:t>9</w:t>
      </w:r>
      <w:r w:rsidRPr="009759DD">
        <w:rPr>
          <w:rFonts w:ascii="Times New Roman" w:hAnsi="Times New Roman" w:cs="Times New Roman"/>
        </w:rPr>
        <w:t xml:space="preserve">, 2020. </w:t>
      </w:r>
    </w:p>
  </w:footnote>
  <w:footnote w:id="2">
    <w:p w14:paraId="5166950F" w14:textId="740A78AE" w:rsidR="00FB00B7" w:rsidRPr="009759DD" w:rsidRDefault="00FB00B7" w:rsidP="00FB00B7">
      <w:pPr>
        <w:pStyle w:val="FootnoteText"/>
        <w:ind w:firstLine="720"/>
        <w:rPr>
          <w:rFonts w:ascii="Times New Roman" w:hAnsi="Times New Roman" w:cs="Times New Roman"/>
        </w:rPr>
      </w:pPr>
      <w:r w:rsidRPr="009759DD">
        <w:rPr>
          <w:rStyle w:val="FootnoteReference"/>
          <w:rFonts w:ascii="Times New Roman" w:hAnsi="Times New Roman" w:cs="Times New Roman"/>
        </w:rPr>
        <w:footnoteRef/>
      </w:r>
      <w:r w:rsidRPr="009759DD">
        <w:rPr>
          <w:rFonts w:ascii="Times New Roman" w:hAnsi="Times New Roman" w:cs="Times New Roman"/>
        </w:rPr>
        <w:t xml:space="preserve"> Pursuant to 16 TAC § 24.239(a) and (j), the deadline for Commission action is one hundred twenty (120) days after the mailing or publication of notice, whichever occurs later. One hundred and twenty days after </w:t>
      </w:r>
      <w:r w:rsidR="000401F3">
        <w:rPr>
          <w:rFonts w:ascii="Times New Roman" w:hAnsi="Times New Roman" w:cs="Times New Roman"/>
        </w:rPr>
        <w:t>May</w:t>
      </w:r>
      <w:r>
        <w:rPr>
          <w:rFonts w:ascii="Times New Roman" w:hAnsi="Times New Roman" w:cs="Times New Roman"/>
        </w:rPr>
        <w:t xml:space="preserve"> </w:t>
      </w:r>
      <w:r w:rsidRPr="009759DD">
        <w:rPr>
          <w:rFonts w:ascii="Times New Roman" w:hAnsi="Times New Roman" w:cs="Times New Roman"/>
        </w:rPr>
        <w:t>2</w:t>
      </w:r>
      <w:r w:rsidR="000401F3">
        <w:rPr>
          <w:rFonts w:ascii="Times New Roman" w:hAnsi="Times New Roman" w:cs="Times New Roman"/>
        </w:rPr>
        <w:t>9</w:t>
      </w:r>
      <w:r w:rsidRPr="009759DD">
        <w:rPr>
          <w:rFonts w:ascii="Times New Roman" w:hAnsi="Times New Roman" w:cs="Times New Roman"/>
        </w:rPr>
        <w:t xml:space="preserve">, 2020 is </w:t>
      </w:r>
      <w:r w:rsidR="000401F3">
        <w:rPr>
          <w:rFonts w:ascii="Times New Roman" w:hAnsi="Times New Roman" w:cs="Times New Roman"/>
        </w:rPr>
        <w:t>Saturday</w:t>
      </w:r>
      <w:r w:rsidRPr="009759DD">
        <w:rPr>
          <w:rFonts w:ascii="Times New Roman" w:hAnsi="Times New Roman" w:cs="Times New Roman"/>
        </w:rPr>
        <w:t xml:space="preserve">, </w:t>
      </w:r>
      <w:r w:rsidR="000401F3">
        <w:rPr>
          <w:rFonts w:ascii="Times New Roman" w:hAnsi="Times New Roman" w:cs="Times New Roman"/>
        </w:rPr>
        <w:t>September</w:t>
      </w:r>
      <w:r w:rsidRPr="009759DD">
        <w:rPr>
          <w:rFonts w:ascii="Times New Roman" w:hAnsi="Times New Roman" w:cs="Times New Roman"/>
        </w:rPr>
        <w:t xml:space="preserve"> 26, 2020.</w:t>
      </w:r>
      <w:r w:rsidR="000401F3">
        <w:rPr>
          <w:rFonts w:ascii="Times New Roman" w:hAnsi="Times New Roman" w:cs="Times New Roman"/>
        </w:rPr>
        <w:t xml:space="preserve"> The Commission is closed on Saturday, September 26, 2020 and thus the next business day the Commission is opened is Monday, September 28, 2020.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1746B9A"/>
    <w:multiLevelType w:val="hybridMultilevel"/>
    <w:tmpl w:val="C792ADAC"/>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0B7A99"/>
    <w:multiLevelType w:val="hybridMultilevel"/>
    <w:tmpl w:val="3D46048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0B7"/>
    <w:rsid w:val="00001A5B"/>
    <w:rsid w:val="000401F3"/>
    <w:rsid w:val="000600F6"/>
    <w:rsid w:val="00067ED3"/>
    <w:rsid w:val="000D1115"/>
    <w:rsid w:val="0020653B"/>
    <w:rsid w:val="00212887"/>
    <w:rsid w:val="00255517"/>
    <w:rsid w:val="00341EBB"/>
    <w:rsid w:val="003E3A30"/>
    <w:rsid w:val="003F508A"/>
    <w:rsid w:val="00454E18"/>
    <w:rsid w:val="00540CC1"/>
    <w:rsid w:val="005D44CE"/>
    <w:rsid w:val="00674E0E"/>
    <w:rsid w:val="006C2A0B"/>
    <w:rsid w:val="007E3A96"/>
    <w:rsid w:val="008549F3"/>
    <w:rsid w:val="008D1B7F"/>
    <w:rsid w:val="009603B2"/>
    <w:rsid w:val="00B03BFA"/>
    <w:rsid w:val="00B4165B"/>
    <w:rsid w:val="00B71959"/>
    <w:rsid w:val="00BE1C4E"/>
    <w:rsid w:val="00C615C6"/>
    <w:rsid w:val="00D1427D"/>
    <w:rsid w:val="00DA5CF6"/>
    <w:rsid w:val="00DB2D08"/>
    <w:rsid w:val="00E95477"/>
    <w:rsid w:val="00F17459"/>
    <w:rsid w:val="00FB00B7"/>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DEC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B00B7"/>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FB00B7"/>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qFormat/>
    <w:rsid w:val="00FB00B7"/>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FB00B7"/>
    <w:rPr>
      <w:rFonts w:ascii="Times New Roman" w:eastAsia="Times New Roman" w:hAnsi="Times New Roman" w:cs="Times New Roman"/>
      <w:b/>
      <w:sz w:val="28"/>
      <w:szCs w:val="20"/>
    </w:rPr>
  </w:style>
  <w:style w:type="paragraph" w:customStyle="1" w:styleId="Docketnumber">
    <w:name w:val="Docket number"/>
    <w:basedOn w:val="Normal"/>
    <w:rsid w:val="00FB00B7"/>
    <w:pPr>
      <w:jc w:val="center"/>
    </w:pPr>
    <w:rPr>
      <w:b/>
      <w:caps/>
      <w:sz w:val="28"/>
    </w:rPr>
  </w:style>
  <w:style w:type="paragraph" w:customStyle="1" w:styleId="Documentheading">
    <w:name w:val="Document heading"/>
    <w:basedOn w:val="Normal"/>
    <w:rsid w:val="00FB00B7"/>
    <w:pPr>
      <w:keepNext/>
      <w:jc w:val="center"/>
    </w:pPr>
    <w:rPr>
      <w:b/>
      <w:caps/>
      <w:sz w:val="28"/>
    </w:rPr>
  </w:style>
  <w:style w:type="paragraph" w:styleId="Footer">
    <w:name w:val="footer"/>
    <w:basedOn w:val="Normal"/>
    <w:link w:val="FooterChar"/>
    <w:rsid w:val="00FB00B7"/>
    <w:pPr>
      <w:tabs>
        <w:tab w:val="center" w:pos="4680"/>
        <w:tab w:val="right" w:pos="9360"/>
      </w:tabs>
      <w:spacing w:line="240" w:lineRule="atLeast"/>
    </w:pPr>
    <w:rPr>
      <w:sz w:val="16"/>
    </w:rPr>
  </w:style>
  <w:style w:type="character" w:customStyle="1" w:styleId="FooterChar">
    <w:name w:val="Footer Char"/>
    <w:basedOn w:val="DefaultParagraphFont"/>
    <w:link w:val="Footer"/>
    <w:rsid w:val="00FB00B7"/>
    <w:rPr>
      <w:rFonts w:ascii="Times New Roman" w:eastAsia="Times New Roman" w:hAnsi="Times New Roman" w:cs="Times New Roman"/>
      <w:sz w:val="16"/>
      <w:szCs w:val="20"/>
    </w:rPr>
  </w:style>
  <w:style w:type="paragraph" w:customStyle="1" w:styleId="Normaldouble">
    <w:name w:val="Normal double"/>
    <w:basedOn w:val="Normal"/>
    <w:link w:val="NormaldoubleChar"/>
    <w:rsid w:val="00FB00B7"/>
    <w:pPr>
      <w:spacing w:line="480" w:lineRule="auto"/>
    </w:pPr>
  </w:style>
  <w:style w:type="character" w:styleId="PageNumber">
    <w:name w:val="page number"/>
    <w:basedOn w:val="DefaultParagraphFont"/>
    <w:rsid w:val="00FB00B7"/>
  </w:style>
  <w:style w:type="character" w:styleId="Hyperlink">
    <w:name w:val="Hyperlink"/>
    <w:rsid w:val="00FB00B7"/>
    <w:rPr>
      <w:color w:val="0000FF"/>
      <w:u w:val="single"/>
    </w:rPr>
  </w:style>
  <w:style w:type="paragraph" w:styleId="ListParagraph">
    <w:name w:val="List Paragraph"/>
    <w:basedOn w:val="Normal"/>
    <w:uiPriority w:val="34"/>
    <w:qFormat/>
    <w:rsid w:val="00FB00B7"/>
    <w:pPr>
      <w:ind w:left="720"/>
      <w:contextualSpacing/>
    </w:pPr>
  </w:style>
  <w:style w:type="paragraph" w:styleId="NoSpacing">
    <w:name w:val="No Spacing"/>
    <w:uiPriority w:val="1"/>
    <w:qFormat/>
    <w:rsid w:val="00FB00B7"/>
    <w:pPr>
      <w:spacing w:after="0" w:line="240" w:lineRule="auto"/>
    </w:pPr>
  </w:style>
  <w:style w:type="character" w:customStyle="1" w:styleId="NormaldoubleChar">
    <w:name w:val="Normal double Char"/>
    <w:link w:val="Normaldouble"/>
    <w:locked/>
    <w:rsid w:val="00FB00B7"/>
    <w:rPr>
      <w:rFonts w:ascii="Times New Roman" w:eastAsia="Times New Roman" w:hAnsi="Times New Roman" w:cs="Times New Roman"/>
      <w:sz w:val="24"/>
      <w:szCs w:val="20"/>
    </w:rPr>
  </w:style>
  <w:style w:type="character" w:customStyle="1" w:styleId="Heading3Char">
    <w:name w:val="Heading 3 Char"/>
    <w:basedOn w:val="DefaultParagraphFont"/>
    <w:link w:val="Heading3"/>
    <w:uiPriority w:val="9"/>
    <w:semiHidden/>
    <w:rsid w:val="00FB00B7"/>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uiPriority w:val="99"/>
    <w:semiHidden/>
    <w:unhideWhenUsed/>
    <w:rsid w:val="00FB00B7"/>
    <w:pPr>
      <w:jc w:val="left"/>
    </w:pPr>
    <w:rPr>
      <w:rFonts w:asciiTheme="minorHAnsi" w:eastAsiaTheme="minorHAnsi" w:hAnsiTheme="minorHAnsi" w:cstheme="minorBidi"/>
      <w:sz w:val="20"/>
    </w:rPr>
  </w:style>
  <w:style w:type="character" w:customStyle="1" w:styleId="FootnoteTextChar">
    <w:name w:val="Footnote Text Char"/>
    <w:basedOn w:val="DefaultParagraphFont"/>
    <w:link w:val="FootnoteText"/>
    <w:uiPriority w:val="99"/>
    <w:semiHidden/>
    <w:rsid w:val="00FB00B7"/>
    <w:rPr>
      <w:sz w:val="20"/>
      <w:szCs w:val="20"/>
    </w:rPr>
  </w:style>
  <w:style w:type="character" w:styleId="FootnoteReference">
    <w:name w:val="footnote reference"/>
    <w:basedOn w:val="DefaultParagraphFont"/>
    <w:uiPriority w:val="99"/>
    <w:semiHidden/>
    <w:unhideWhenUsed/>
    <w:rsid w:val="00FB00B7"/>
    <w:rPr>
      <w:vertAlign w:val="superscript"/>
    </w:rPr>
  </w:style>
  <w:style w:type="paragraph" w:styleId="Header">
    <w:name w:val="header"/>
    <w:basedOn w:val="Normal"/>
    <w:link w:val="HeaderChar"/>
    <w:uiPriority w:val="99"/>
    <w:unhideWhenUsed/>
    <w:rsid w:val="00B4165B"/>
    <w:pPr>
      <w:tabs>
        <w:tab w:val="center" w:pos="4680"/>
        <w:tab w:val="right" w:pos="9360"/>
      </w:tabs>
    </w:pPr>
  </w:style>
  <w:style w:type="character" w:customStyle="1" w:styleId="HeaderChar">
    <w:name w:val="Header Char"/>
    <w:basedOn w:val="DefaultParagraphFont"/>
    <w:link w:val="Header"/>
    <w:uiPriority w:val="99"/>
    <w:rsid w:val="00B4165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537</Words>
  <Characters>3063</Characters>
  <Application>Microsoft Office Word</Application>
  <DocSecurity>0</DocSecurity>
  <Lines>25</Lines>
  <Paragraphs>7</Paragraphs>
  <ScaleCrop>false</ScaleCrop>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2020-06-25T13:59:00Z</dcterms:created>
  <dcterms:modified xsi:type="dcterms:W3CDTF">2020-06-25T13:59:00Z</dcterms:modified>
</cp:coreProperties>
</file>